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F" w:rsidRPr="001C5A6C" w:rsidRDefault="00AC51DF" w:rsidP="00AC51DF">
      <w:pPr>
        <w:rPr>
          <w:rFonts w:hint="eastAsia"/>
          <w:b/>
          <w:color w:val="FF0000"/>
          <w:sz w:val="24"/>
          <w:szCs w:val="24"/>
        </w:rPr>
      </w:pPr>
      <w:r w:rsidRPr="001C5A6C">
        <w:rPr>
          <w:rFonts w:hint="eastAsia"/>
          <w:b/>
          <w:color w:val="FF0000"/>
          <w:sz w:val="24"/>
          <w:szCs w:val="24"/>
        </w:rPr>
        <w:t>附件</w:t>
      </w:r>
      <w:r w:rsidRPr="001C5A6C">
        <w:rPr>
          <w:rFonts w:hint="eastAsia"/>
          <w:b/>
          <w:color w:val="FF0000"/>
          <w:sz w:val="24"/>
          <w:szCs w:val="24"/>
        </w:rPr>
        <w:t>1</w:t>
      </w:r>
      <w:r w:rsidRPr="001C5A6C">
        <w:rPr>
          <w:rFonts w:hint="eastAsia"/>
          <w:b/>
          <w:color w:val="FF0000"/>
          <w:sz w:val="24"/>
          <w:szCs w:val="24"/>
        </w:rPr>
        <w:t>：</w:t>
      </w:r>
    </w:p>
    <w:p w:rsidR="00AC51DF" w:rsidRDefault="00AC51DF" w:rsidP="00AC51DF">
      <w:pPr>
        <w:rPr>
          <w:rFonts w:hint="eastAsia"/>
          <w:sz w:val="24"/>
          <w:szCs w:val="24"/>
        </w:rPr>
      </w:pPr>
    </w:p>
    <w:p w:rsidR="00AC51DF" w:rsidRDefault="00AC51DF" w:rsidP="00AC51DF">
      <w:pPr>
        <w:jc w:val="center"/>
        <w:rPr>
          <w:rFonts w:hint="eastAsia"/>
          <w:b/>
          <w:bCs/>
          <w:sz w:val="32"/>
          <w:szCs w:val="32"/>
        </w:rPr>
      </w:pPr>
      <w:r>
        <w:rPr>
          <w:rFonts w:hint="eastAsia"/>
          <w:b/>
          <w:bCs/>
          <w:sz w:val="32"/>
          <w:szCs w:val="32"/>
        </w:rPr>
        <w:t>猪支原体肺炎活疫苗（</w:t>
      </w:r>
      <w:r>
        <w:rPr>
          <w:rFonts w:hint="eastAsia"/>
          <w:b/>
          <w:bCs/>
          <w:sz w:val="32"/>
          <w:szCs w:val="32"/>
        </w:rPr>
        <w:t>RM48</w:t>
      </w:r>
      <w:r>
        <w:rPr>
          <w:rFonts w:hint="eastAsia"/>
          <w:b/>
          <w:bCs/>
          <w:sz w:val="32"/>
          <w:szCs w:val="32"/>
        </w:rPr>
        <w:t>株）“绿都传奇”试验方案</w:t>
      </w:r>
    </w:p>
    <w:p w:rsidR="00AC51DF" w:rsidRDefault="00AC51DF" w:rsidP="00AC51DF">
      <w:pPr>
        <w:jc w:val="center"/>
        <w:rPr>
          <w:rFonts w:hint="eastAsia"/>
          <w:szCs w:val="21"/>
        </w:rPr>
      </w:pPr>
    </w:p>
    <w:p w:rsidR="00AC51DF" w:rsidRPr="0002045F" w:rsidRDefault="00AC51DF" w:rsidP="00AC51DF">
      <w:pPr>
        <w:spacing w:line="360" w:lineRule="auto"/>
        <w:rPr>
          <w:rFonts w:hint="eastAsia"/>
          <w:szCs w:val="21"/>
        </w:rPr>
      </w:pPr>
      <w:r>
        <w:rPr>
          <w:rFonts w:hint="eastAsia"/>
          <w:szCs w:val="21"/>
        </w:rPr>
        <w:t xml:space="preserve">   </w:t>
      </w:r>
      <w:r>
        <w:rPr>
          <w:rFonts w:hint="eastAsia"/>
          <w:sz w:val="24"/>
          <w:szCs w:val="24"/>
        </w:rPr>
        <w:t xml:space="preserve"> </w:t>
      </w:r>
      <w:r w:rsidRPr="0002045F">
        <w:rPr>
          <w:rFonts w:hint="eastAsia"/>
          <w:szCs w:val="21"/>
        </w:rPr>
        <w:t>猪支原体肺炎，又称地方性肺炎，在猪呼吸道疾病综合征（</w:t>
      </w:r>
      <w:r w:rsidRPr="0002045F">
        <w:rPr>
          <w:rFonts w:hint="eastAsia"/>
          <w:szCs w:val="21"/>
        </w:rPr>
        <w:t>PRDC</w:t>
      </w:r>
      <w:r w:rsidRPr="0002045F">
        <w:rPr>
          <w:rFonts w:hint="eastAsia"/>
          <w:szCs w:val="21"/>
        </w:rPr>
        <w:t>）发生过程中起着重要的作用，从而引起猪只日体重的降低、饲料利用率的下降、死亡率的增加以及药物治疗成本的增加，</w:t>
      </w:r>
      <w:r w:rsidRPr="0002045F">
        <w:rPr>
          <w:rFonts w:ascii="AdobeHeitiStd-Regular" w:eastAsia="AdobeHeitiStd-Regular" w:hAnsi="AdobeHeitiStd-Regular" w:hint="eastAsia"/>
          <w:szCs w:val="21"/>
        </w:rPr>
        <w:t>是造成我国养猪业经济损失最重要的疾病之一</w:t>
      </w:r>
      <w:r w:rsidRPr="0002045F">
        <w:rPr>
          <w:rFonts w:hint="eastAsia"/>
          <w:szCs w:val="21"/>
        </w:rPr>
        <w:t>。</w:t>
      </w:r>
      <w:r w:rsidRPr="0002045F">
        <w:rPr>
          <w:rFonts w:ascii="AdobeHeitiStd-Regular" w:eastAsia="AdobeHeitiStd-Regular" w:hAnsi="AdobeHeitiStd-Regular" w:hint="eastAsia"/>
          <w:szCs w:val="21"/>
        </w:rPr>
        <w:t>免疫接种猪肺炎支原体疫苗是防控该病的重要手段之一，接种该疫苗可减少肺部损伤，提高料肉比，缩短出栏时间。</w:t>
      </w:r>
    </w:p>
    <w:p w:rsidR="00AC51DF" w:rsidRPr="0002045F" w:rsidRDefault="00AC51DF" w:rsidP="00AC51DF">
      <w:pPr>
        <w:spacing w:line="360" w:lineRule="auto"/>
        <w:rPr>
          <w:rFonts w:ascii="FSJ0+ZMfFY7-2" w:eastAsia="FSJ0+ZMfFY7-2" w:hAnsi="FSJ0+ZMfFY7-2" w:hint="eastAsia"/>
          <w:szCs w:val="21"/>
        </w:rPr>
      </w:pPr>
      <w:r w:rsidRPr="0002045F">
        <w:rPr>
          <w:rFonts w:hint="eastAsia"/>
          <w:szCs w:val="21"/>
        </w:rPr>
        <w:t xml:space="preserve">   </w:t>
      </w:r>
      <w:r>
        <w:rPr>
          <w:rFonts w:hint="eastAsia"/>
          <w:szCs w:val="21"/>
        </w:rPr>
        <w:t xml:space="preserve">  </w:t>
      </w:r>
      <w:r w:rsidRPr="0002045F">
        <w:rPr>
          <w:rFonts w:hint="eastAsia"/>
          <w:szCs w:val="21"/>
        </w:rPr>
        <w:t>由山东绿都生物科技有限公司生产的</w:t>
      </w:r>
      <w:r w:rsidRPr="0002045F">
        <w:rPr>
          <w:rFonts w:ascii="AdobeHeitiStd-Regular" w:eastAsia="AdobeHeitiStd-Regular" w:hAnsi="AdobeHeitiStd-Regular" w:hint="eastAsia"/>
          <w:szCs w:val="21"/>
        </w:rPr>
        <w:t xml:space="preserve">猪支原体肺炎活疫苗( </w:t>
      </w:r>
      <w:r w:rsidRPr="0002045F">
        <w:rPr>
          <w:rFonts w:ascii="E-BZ+ZMfFY6-1" w:eastAsia="E-BZ+ZMfFY6-1" w:hAnsi="E-BZ+ZMfFY6-1" w:hint="eastAsia"/>
          <w:szCs w:val="21"/>
        </w:rPr>
        <w:t xml:space="preserve">RM48 </w:t>
      </w:r>
      <w:r w:rsidRPr="0002045F">
        <w:rPr>
          <w:rFonts w:ascii="AdobeHeitiStd-Regular" w:eastAsia="AdobeHeitiStd-Regular" w:hAnsi="AdobeHeitiStd-Regular" w:hint="eastAsia"/>
          <w:szCs w:val="21"/>
        </w:rPr>
        <w:t>株)“绿都传奇” 是最新研制用于预防猪支原体肺炎的活疫苗，具有更全面的的免疫保护，并可采用鼻腔接种的免疫方式，打破了当前活疫苗仅可通过胸腔注射的免疫途径</w:t>
      </w:r>
      <w:r w:rsidRPr="0002045F">
        <w:rPr>
          <w:rFonts w:ascii="FSJ0+ZMfFY7-2" w:eastAsia="FSJ0+ZMfFY7-2" w:hAnsi="FSJ0+ZMfFY7-2" w:hint="eastAsia"/>
          <w:szCs w:val="21"/>
        </w:rPr>
        <w:t>。</w:t>
      </w:r>
    </w:p>
    <w:p w:rsidR="00AC51DF" w:rsidRPr="0002045F" w:rsidRDefault="00AC51DF" w:rsidP="00AC51DF">
      <w:pPr>
        <w:spacing w:line="360" w:lineRule="auto"/>
        <w:rPr>
          <w:rFonts w:hint="eastAsia"/>
          <w:szCs w:val="21"/>
        </w:rPr>
      </w:pPr>
      <w:r w:rsidRPr="0002045F">
        <w:rPr>
          <w:rFonts w:hint="eastAsia"/>
          <w:szCs w:val="21"/>
        </w:rPr>
        <w:t xml:space="preserve">  </w:t>
      </w:r>
      <w:r>
        <w:rPr>
          <w:rFonts w:hint="eastAsia"/>
          <w:szCs w:val="21"/>
        </w:rPr>
        <w:t xml:space="preserve">  </w:t>
      </w:r>
      <w:r w:rsidRPr="0002045F">
        <w:rPr>
          <w:szCs w:val="21"/>
        </w:rPr>
        <w:t>为进一步验证</w:t>
      </w:r>
      <w:r w:rsidRPr="0002045F">
        <w:rPr>
          <w:rFonts w:hint="eastAsia"/>
          <w:szCs w:val="21"/>
        </w:rPr>
        <w:t>通过接种“绿都传奇”对猪只形成全面的免疫保护，从而起到提高饲料转化率、提高日增重、缩短出栏时间的效果，</w:t>
      </w:r>
      <w:r w:rsidRPr="0002045F">
        <w:rPr>
          <w:szCs w:val="21"/>
        </w:rPr>
        <w:t xml:space="preserve"> </w:t>
      </w:r>
      <w:r w:rsidRPr="0002045F">
        <w:rPr>
          <w:szCs w:val="21"/>
        </w:rPr>
        <w:t>本试验于</w:t>
      </w:r>
      <w:r w:rsidRPr="0002045F">
        <w:rPr>
          <w:rFonts w:hint="eastAsia"/>
          <w:szCs w:val="21"/>
          <w:u w:val="single"/>
        </w:rPr>
        <w:t xml:space="preserve">      </w:t>
      </w:r>
      <w:r w:rsidRPr="0002045F">
        <w:rPr>
          <w:szCs w:val="21"/>
        </w:rPr>
        <w:t>年</w:t>
      </w:r>
      <w:r w:rsidRPr="0002045F">
        <w:rPr>
          <w:szCs w:val="21"/>
        </w:rPr>
        <w:t> </w:t>
      </w:r>
      <w:r w:rsidRPr="0002045F">
        <w:rPr>
          <w:rFonts w:hint="eastAsia"/>
          <w:szCs w:val="21"/>
          <w:u w:val="single"/>
        </w:rPr>
        <w:t xml:space="preserve">  </w:t>
      </w:r>
      <w:r w:rsidRPr="0002045F">
        <w:rPr>
          <w:szCs w:val="21"/>
        </w:rPr>
        <w:t>月</w:t>
      </w:r>
      <w:r w:rsidRPr="0002045F">
        <w:rPr>
          <w:szCs w:val="21"/>
        </w:rPr>
        <w:t> </w:t>
      </w:r>
      <w:r w:rsidRPr="0002045F">
        <w:rPr>
          <w:rFonts w:hint="eastAsia"/>
          <w:szCs w:val="21"/>
          <w:u w:val="single"/>
        </w:rPr>
        <w:t xml:space="preserve">  </w:t>
      </w:r>
      <w:r w:rsidRPr="0002045F">
        <w:rPr>
          <w:szCs w:val="21"/>
        </w:rPr>
        <w:t>日至</w:t>
      </w:r>
      <w:r w:rsidRPr="0002045F">
        <w:rPr>
          <w:rFonts w:hint="eastAsia"/>
          <w:szCs w:val="21"/>
          <w:u w:val="single"/>
        </w:rPr>
        <w:t xml:space="preserve">  </w:t>
      </w:r>
      <w:r w:rsidRPr="0002045F">
        <w:rPr>
          <w:szCs w:val="21"/>
        </w:rPr>
        <w:t>月</w:t>
      </w:r>
      <w:r w:rsidRPr="0002045F">
        <w:rPr>
          <w:szCs w:val="21"/>
        </w:rPr>
        <w:t> </w:t>
      </w:r>
      <w:r w:rsidRPr="0002045F">
        <w:rPr>
          <w:rFonts w:hint="eastAsia"/>
          <w:szCs w:val="21"/>
          <w:u w:val="single"/>
        </w:rPr>
        <w:t xml:space="preserve">  </w:t>
      </w:r>
      <w:r w:rsidRPr="0002045F">
        <w:rPr>
          <w:szCs w:val="21"/>
        </w:rPr>
        <w:t>日在</w:t>
      </w:r>
      <w:r w:rsidRPr="0002045F">
        <w:rPr>
          <w:rFonts w:hint="eastAsia"/>
          <w:szCs w:val="21"/>
          <w:u w:val="single"/>
        </w:rPr>
        <w:t xml:space="preserve">                             </w:t>
      </w:r>
      <w:r w:rsidRPr="0002045F">
        <w:rPr>
          <w:szCs w:val="21"/>
        </w:rPr>
        <w:t>养殖</w:t>
      </w:r>
      <w:r w:rsidRPr="0002045F">
        <w:rPr>
          <w:rFonts w:hint="eastAsia"/>
          <w:szCs w:val="21"/>
        </w:rPr>
        <w:t>场</w:t>
      </w:r>
      <w:r w:rsidRPr="0002045F">
        <w:rPr>
          <w:szCs w:val="21"/>
        </w:rPr>
        <w:t>进行，目的</w:t>
      </w:r>
      <w:r w:rsidRPr="0002045F">
        <w:rPr>
          <w:rFonts w:hint="eastAsia"/>
          <w:szCs w:val="21"/>
        </w:rPr>
        <w:t>在于</w:t>
      </w:r>
      <w:r w:rsidRPr="0002045F">
        <w:rPr>
          <w:szCs w:val="21"/>
        </w:rPr>
        <w:t>探讨和验证</w:t>
      </w:r>
      <w:r w:rsidRPr="0002045F">
        <w:rPr>
          <w:rFonts w:hint="eastAsia"/>
          <w:szCs w:val="21"/>
        </w:rPr>
        <w:t>“绿都传奇”</w:t>
      </w:r>
      <w:r w:rsidRPr="0002045F">
        <w:rPr>
          <w:szCs w:val="21"/>
        </w:rPr>
        <w:t>在</w:t>
      </w:r>
      <w:r w:rsidRPr="0002045F">
        <w:rPr>
          <w:rFonts w:hint="eastAsia"/>
          <w:szCs w:val="21"/>
        </w:rPr>
        <w:t>猪只</w:t>
      </w:r>
      <w:r w:rsidRPr="0002045F">
        <w:rPr>
          <w:szCs w:val="21"/>
        </w:rPr>
        <w:t>饲养过程中对</w:t>
      </w:r>
      <w:r w:rsidRPr="0002045F">
        <w:rPr>
          <w:rFonts w:hint="eastAsia"/>
          <w:szCs w:val="21"/>
        </w:rPr>
        <w:t>猪支原体肺炎发病率</w:t>
      </w:r>
      <w:r w:rsidRPr="0002045F">
        <w:rPr>
          <w:szCs w:val="21"/>
        </w:rPr>
        <w:t>的影响以及经济效益分析</w:t>
      </w:r>
      <w:r w:rsidRPr="0002045F">
        <w:rPr>
          <w:rFonts w:hint="eastAsia"/>
          <w:szCs w:val="21"/>
        </w:rPr>
        <w:t>，</w:t>
      </w:r>
      <w:r w:rsidRPr="0002045F">
        <w:rPr>
          <w:szCs w:val="21"/>
        </w:rPr>
        <w:t>试验</w:t>
      </w:r>
      <w:r w:rsidRPr="0002045F">
        <w:rPr>
          <w:rFonts w:hint="eastAsia"/>
          <w:szCs w:val="21"/>
        </w:rPr>
        <w:t>方案</w:t>
      </w:r>
      <w:r w:rsidRPr="0002045F">
        <w:rPr>
          <w:szCs w:val="21"/>
        </w:rPr>
        <w:t>如下</w:t>
      </w:r>
      <w:r w:rsidRPr="0002045F">
        <w:rPr>
          <w:rFonts w:hint="eastAsia"/>
          <w:szCs w:val="21"/>
        </w:rPr>
        <w:t>：</w:t>
      </w:r>
      <w:r w:rsidRPr="0002045F">
        <w:rPr>
          <w:rFonts w:hint="eastAsia"/>
          <w:szCs w:val="21"/>
        </w:rPr>
        <w:t>.</w:t>
      </w:r>
    </w:p>
    <w:p w:rsidR="00AC51DF" w:rsidRPr="0002045F" w:rsidRDefault="00AC51DF" w:rsidP="00AC51DF">
      <w:pPr>
        <w:widowControl w:val="0"/>
        <w:numPr>
          <w:ilvl w:val="0"/>
          <w:numId w:val="1"/>
        </w:numPr>
        <w:adjustRightInd/>
        <w:snapToGrid/>
        <w:spacing w:after="0" w:line="360" w:lineRule="auto"/>
        <w:jc w:val="both"/>
        <w:rPr>
          <w:szCs w:val="21"/>
        </w:rPr>
      </w:pPr>
      <w:r w:rsidRPr="0002045F">
        <w:rPr>
          <w:b/>
          <w:bCs/>
          <w:szCs w:val="21"/>
        </w:rPr>
        <w:t>试验材料与方法</w:t>
      </w:r>
      <w:r w:rsidRPr="0002045F">
        <w:rPr>
          <w:szCs w:val="21"/>
        </w:rPr>
        <w:t xml:space="preserve"> </w:t>
      </w:r>
    </w:p>
    <w:p w:rsidR="00AC51DF" w:rsidRPr="0002045F" w:rsidRDefault="00AC51DF" w:rsidP="00AC51DF">
      <w:pPr>
        <w:spacing w:line="360" w:lineRule="auto"/>
        <w:rPr>
          <w:rFonts w:hint="eastAsia"/>
          <w:szCs w:val="21"/>
        </w:rPr>
      </w:pPr>
      <w:r w:rsidRPr="00877E82">
        <w:rPr>
          <w:b/>
          <w:szCs w:val="21"/>
        </w:rPr>
        <w:t>1.1  </w:t>
      </w:r>
      <w:r w:rsidRPr="00877E82">
        <w:rPr>
          <w:b/>
          <w:szCs w:val="21"/>
        </w:rPr>
        <w:t>试验</w:t>
      </w:r>
      <w:r w:rsidRPr="00877E82">
        <w:rPr>
          <w:rFonts w:hint="eastAsia"/>
          <w:b/>
          <w:szCs w:val="21"/>
        </w:rPr>
        <w:t>动物</w:t>
      </w:r>
      <w:r>
        <w:rPr>
          <w:rFonts w:hint="eastAsia"/>
          <w:szCs w:val="21"/>
        </w:rPr>
        <w:t>：</w:t>
      </w:r>
      <w:r w:rsidRPr="0002045F">
        <w:rPr>
          <w:rFonts w:hint="eastAsia"/>
          <w:szCs w:val="21"/>
        </w:rPr>
        <w:t>1~7</w:t>
      </w:r>
      <w:r w:rsidRPr="0002045F">
        <w:rPr>
          <w:rFonts w:hint="eastAsia"/>
          <w:szCs w:val="21"/>
        </w:rPr>
        <w:t>日龄健康仔猪</w:t>
      </w:r>
      <w:r w:rsidRPr="0002045F">
        <w:rPr>
          <w:rFonts w:hint="eastAsia"/>
          <w:szCs w:val="21"/>
        </w:rPr>
        <w:t>200</w:t>
      </w:r>
      <w:r w:rsidRPr="0002045F">
        <w:rPr>
          <w:rFonts w:hint="eastAsia"/>
          <w:szCs w:val="21"/>
        </w:rPr>
        <w:t>头—</w:t>
      </w:r>
      <w:r w:rsidRPr="0002045F">
        <w:rPr>
          <w:rFonts w:hint="eastAsia"/>
          <w:szCs w:val="21"/>
        </w:rPr>
        <w:t>1000</w:t>
      </w:r>
      <w:r>
        <w:rPr>
          <w:rFonts w:hint="eastAsia"/>
          <w:szCs w:val="21"/>
        </w:rPr>
        <w:t>头。（注：实验动物分娩时间相隔</w:t>
      </w:r>
      <w:r w:rsidRPr="0002045F">
        <w:rPr>
          <w:rFonts w:hint="eastAsia"/>
          <w:szCs w:val="21"/>
        </w:rPr>
        <w:t>在一周内）</w:t>
      </w:r>
      <w:r>
        <w:rPr>
          <w:rFonts w:hint="eastAsia"/>
          <w:szCs w:val="21"/>
        </w:rPr>
        <w:t>。</w:t>
      </w:r>
    </w:p>
    <w:p w:rsidR="00AC51DF" w:rsidRPr="00B960B7" w:rsidRDefault="00AC51DF" w:rsidP="00AC51DF">
      <w:pPr>
        <w:spacing w:line="360" w:lineRule="auto"/>
        <w:rPr>
          <w:rFonts w:hint="eastAsia"/>
          <w:szCs w:val="21"/>
        </w:rPr>
      </w:pPr>
      <w:r w:rsidRPr="00877E82">
        <w:rPr>
          <w:rFonts w:hint="eastAsia"/>
          <w:b/>
          <w:szCs w:val="21"/>
        </w:rPr>
        <w:t xml:space="preserve">1.2 </w:t>
      </w:r>
      <w:r w:rsidRPr="00877E82">
        <w:rPr>
          <w:rFonts w:hint="eastAsia"/>
          <w:b/>
          <w:szCs w:val="21"/>
        </w:rPr>
        <w:t>疫苗</w:t>
      </w:r>
      <w:r>
        <w:rPr>
          <w:rFonts w:hint="eastAsia"/>
          <w:szCs w:val="21"/>
        </w:rPr>
        <w:t>：</w:t>
      </w:r>
      <w:r w:rsidRPr="0002045F">
        <w:rPr>
          <w:rFonts w:hint="eastAsia"/>
          <w:szCs w:val="21"/>
        </w:rPr>
        <w:t>由山东绿都生物科技有限公司生产的</w:t>
      </w:r>
      <w:r w:rsidRPr="0002045F">
        <w:rPr>
          <w:rFonts w:ascii="AdobeHeitiStd-Regular" w:eastAsia="AdobeHeitiStd-Regular" w:hAnsi="AdobeHeitiStd-Regular" w:hint="eastAsia"/>
          <w:szCs w:val="21"/>
        </w:rPr>
        <w:t>猪支原体肺炎活疫苗( R</w:t>
      </w:r>
      <w:r w:rsidRPr="0002045F">
        <w:rPr>
          <w:rFonts w:ascii="E-BZ+ZMfFY6-1" w:eastAsia="E-BZ+ZMfFY6-1" w:hAnsi="E-BZ+ZMfFY6-1" w:hint="eastAsia"/>
          <w:szCs w:val="21"/>
        </w:rPr>
        <w:t xml:space="preserve">M48 </w:t>
      </w:r>
      <w:r w:rsidRPr="0002045F">
        <w:rPr>
          <w:rFonts w:ascii="AdobeHeitiStd-Regular" w:eastAsia="AdobeHeitiStd-Regular" w:hAnsi="AdobeHeitiStd-Regular" w:hint="eastAsia"/>
          <w:szCs w:val="21"/>
        </w:rPr>
        <w:t>株)“绿都传奇”</w:t>
      </w:r>
      <w:r>
        <w:rPr>
          <w:rFonts w:ascii="AdobeHeitiStd-Regular" w:eastAsia="AdobeHeitiStd-Regular" w:hAnsi="AdobeHeitiStd-Regular" w:hint="eastAsia"/>
          <w:szCs w:val="21"/>
        </w:rPr>
        <w:t>。</w:t>
      </w:r>
    </w:p>
    <w:p w:rsidR="00AC51DF" w:rsidRPr="00877E82" w:rsidRDefault="00AC51DF" w:rsidP="00AC51DF">
      <w:pPr>
        <w:spacing w:line="360" w:lineRule="auto"/>
        <w:rPr>
          <w:rFonts w:ascii="AdobeHeitiStd-Regular" w:eastAsia="AdobeHeitiStd-Regular" w:hAnsi="AdobeHeitiStd-Regular" w:hint="eastAsia"/>
          <w:b/>
          <w:szCs w:val="21"/>
        </w:rPr>
      </w:pPr>
      <w:r w:rsidRPr="00877E82">
        <w:rPr>
          <w:rFonts w:ascii="AdobeHeitiStd-Regular" w:eastAsia="AdobeHeitiStd-Regular" w:hAnsi="AdobeHeitiStd-Regular" w:hint="eastAsia"/>
          <w:b/>
          <w:szCs w:val="21"/>
        </w:rPr>
        <w:t>1.3 试验设计</w:t>
      </w:r>
    </w:p>
    <w:p w:rsidR="00AC51DF" w:rsidRPr="0002045F" w:rsidRDefault="00AC51DF" w:rsidP="00AC51DF">
      <w:pPr>
        <w:spacing w:line="360" w:lineRule="auto"/>
        <w:ind w:left="1988" w:hangingChars="900" w:hanging="1988"/>
        <w:rPr>
          <w:rFonts w:ascii="AdobeHeitiStd-Regular" w:eastAsia="AdobeHeitiStd-Regular" w:hAnsi="AdobeHeitiStd-Regular" w:hint="eastAsia"/>
          <w:szCs w:val="21"/>
        </w:rPr>
      </w:pPr>
      <w:smartTag w:uri="urn:schemas-microsoft-com:office:smarttags" w:element="chsdate">
        <w:smartTagPr>
          <w:attr w:name="Year" w:val="1899"/>
          <w:attr w:name="Month" w:val="12"/>
          <w:attr w:name="Day" w:val="30"/>
          <w:attr w:name="IsLunarDate" w:val="False"/>
          <w:attr w:name="IsROCDate" w:val="False"/>
        </w:smartTagPr>
        <w:r w:rsidRPr="00877E82">
          <w:rPr>
            <w:rFonts w:ascii="AdobeHeitiStd-Regular" w:eastAsia="AdobeHeitiStd-Regular" w:hAnsi="AdobeHeitiStd-Regular" w:hint="eastAsia"/>
            <w:b/>
            <w:szCs w:val="21"/>
          </w:rPr>
          <w:t>1.3.1</w:t>
        </w:r>
      </w:smartTag>
      <w:r w:rsidRPr="00877E82">
        <w:rPr>
          <w:rFonts w:ascii="AdobeHeitiStd-Regular" w:eastAsia="AdobeHeitiStd-Regular" w:hAnsi="AdobeHeitiStd-Regular" w:hint="eastAsia"/>
          <w:b/>
          <w:szCs w:val="21"/>
        </w:rPr>
        <w:t xml:space="preserve"> 试验分组</w:t>
      </w:r>
      <w:r w:rsidRPr="0002045F">
        <w:rPr>
          <w:rFonts w:ascii="AdobeHeitiStd-Regular" w:eastAsia="AdobeHeitiStd-Regular" w:hAnsi="AdobeHeitiStd-Regular" w:hint="eastAsia"/>
          <w:szCs w:val="21"/>
        </w:rPr>
        <w:t xml:space="preserve">    将1.1试验动物随机均分成A、B</w:t>
      </w:r>
      <w:r>
        <w:rPr>
          <w:rFonts w:ascii="AdobeHeitiStd-Regular" w:eastAsia="AdobeHeitiStd-Regular" w:hAnsi="AdobeHeitiStd-Regular" w:hint="eastAsia"/>
          <w:szCs w:val="21"/>
        </w:rPr>
        <w:t>两</w:t>
      </w:r>
      <w:r w:rsidRPr="0002045F">
        <w:rPr>
          <w:rFonts w:ascii="AdobeHeitiStd-Regular" w:eastAsia="AdobeHeitiStd-Regular" w:hAnsi="AdobeHeitiStd-Regular" w:hint="eastAsia"/>
          <w:szCs w:val="21"/>
        </w:rPr>
        <w:t xml:space="preserve">组，每组100头—500头。 </w:t>
      </w:r>
      <w:r w:rsidRPr="0002045F">
        <w:rPr>
          <w:rFonts w:ascii="E-BZ+ZLSFAl-1" w:eastAsia="E-BZ+ZLSFAl-1" w:hAnsi="E-BZ+ZLSFAl-1" w:hint="eastAsia"/>
          <w:szCs w:val="21"/>
        </w:rPr>
        <w:t>A</w:t>
      </w:r>
      <w:r>
        <w:rPr>
          <w:rFonts w:ascii="AdobeHeitiStd-Regular" w:eastAsia="AdobeHeitiStd-Regular" w:hAnsi="AdobeHeitiStd-Regular" w:hint="eastAsia"/>
          <w:szCs w:val="21"/>
        </w:rPr>
        <w:t>组</w:t>
      </w:r>
      <w:r w:rsidRPr="0002045F">
        <w:rPr>
          <w:rFonts w:ascii="AdobeHeitiStd-Regular" w:eastAsia="AdobeHeitiStd-Regular" w:hAnsi="AdobeHeitiStd-Regular" w:hint="eastAsia"/>
          <w:szCs w:val="21"/>
        </w:rPr>
        <w:t>在</w:t>
      </w:r>
      <w:r w:rsidRPr="0002045F">
        <w:rPr>
          <w:rFonts w:ascii="AdobeHeitiStd-Regular" w:eastAsia="AdobeHeitiStd-Regular" w:hAnsi="AdobeHeitiStd-Regular" w:hint="eastAsia"/>
          <w:b/>
          <w:bCs/>
          <w:szCs w:val="21"/>
        </w:rPr>
        <w:t>1—7日龄</w:t>
      </w:r>
      <w:r w:rsidRPr="0002045F">
        <w:rPr>
          <w:rFonts w:ascii="AdobeHeitiStd-Regular" w:eastAsia="AdobeHeitiStd-Regular" w:hAnsi="AdobeHeitiStd-Regular" w:hint="eastAsia"/>
          <w:szCs w:val="21"/>
        </w:rPr>
        <w:t>喷鼻免疫接种0.5头份“绿都传奇”，</w:t>
      </w:r>
      <w:r>
        <w:rPr>
          <w:rFonts w:ascii="E-BZ+ZLSFAl-1" w:eastAsia="E-BZ+ZLSFAl-1" w:hAnsi="E-BZ+ZLSFAl-1" w:hint="eastAsia"/>
          <w:szCs w:val="21"/>
        </w:rPr>
        <w:t>B</w:t>
      </w:r>
      <w:r w:rsidRPr="0002045F">
        <w:rPr>
          <w:rFonts w:ascii="AdobeHeitiStd-Regular" w:eastAsia="AdobeHeitiStd-Regular" w:hAnsi="AdobeHeitiStd-Regular" w:hint="eastAsia"/>
          <w:szCs w:val="21"/>
        </w:rPr>
        <w:t>组不接种</w:t>
      </w:r>
      <w:r>
        <w:rPr>
          <w:rFonts w:ascii="AdobeHeitiStd-Regular" w:eastAsia="AdobeHeitiStd-Regular" w:hAnsi="AdobeHeitiStd-Regular" w:hint="eastAsia"/>
          <w:szCs w:val="21"/>
        </w:rPr>
        <w:lastRenderedPageBreak/>
        <w:t>任何厂家的</w:t>
      </w:r>
      <w:r w:rsidRPr="0002045F">
        <w:rPr>
          <w:rFonts w:ascii="AdobeHeitiStd-Regular" w:eastAsia="AdobeHeitiStd-Regular" w:hAnsi="AdobeHeitiStd-Regular" w:hint="eastAsia"/>
          <w:szCs w:val="21"/>
        </w:rPr>
        <w:t>猪支原体肺炎疫苗</w:t>
      </w:r>
      <w:r w:rsidRPr="0002045F">
        <w:rPr>
          <w:rFonts w:ascii="HTJ0+ZLSFAl-2" w:eastAsia="HTJ0+ZLSFAl-2" w:hAnsi="HTJ0+ZLSFAl-2" w:hint="eastAsia"/>
          <w:szCs w:val="21"/>
        </w:rPr>
        <w:t>。</w:t>
      </w:r>
      <w:r w:rsidRPr="0002045F">
        <w:rPr>
          <w:rFonts w:ascii="AdobeHeitiStd-Regular" w:eastAsia="AdobeHeitiStd-Regular" w:hAnsi="AdobeHeitiStd-Regular" w:hint="eastAsia"/>
          <w:szCs w:val="21"/>
        </w:rPr>
        <w:t>所有试验猪按照常规饲养进行管理，</w:t>
      </w:r>
      <w:r>
        <w:rPr>
          <w:rFonts w:ascii="AdobeHeitiStd-Regular" w:eastAsia="AdobeHeitiStd-Regular" w:hAnsi="AdobeHeitiStd-Regular" w:hint="eastAsia"/>
          <w:szCs w:val="21"/>
        </w:rPr>
        <w:t>并记录以下时间：仔猪分娩日期</w:t>
      </w:r>
      <w:r>
        <w:rPr>
          <w:rFonts w:ascii="AdobeHeitiStd-Regular" w:eastAsia="AdobeHeitiStd-Regular" w:hAnsi="AdobeHeitiStd-Regular" w:hint="eastAsia"/>
          <w:szCs w:val="21"/>
          <w:u w:val="single"/>
        </w:rPr>
        <w:t xml:space="preserve">       </w:t>
      </w:r>
      <w:r>
        <w:rPr>
          <w:rFonts w:ascii="AdobeHeitiStd-Regular" w:eastAsia="AdobeHeitiStd-Regular" w:hAnsi="AdobeHeitiStd-Regular" w:hint="eastAsia"/>
          <w:szCs w:val="21"/>
        </w:rPr>
        <w:t>、断奶日期</w:t>
      </w:r>
      <w:r w:rsidRPr="0002045F">
        <w:rPr>
          <w:rFonts w:ascii="AdobeHeitiStd-Regular" w:eastAsia="AdobeHeitiStd-Regular" w:hAnsi="AdobeHeitiStd-Regular" w:hint="eastAsia"/>
          <w:szCs w:val="21"/>
          <w:u w:val="single"/>
        </w:rPr>
        <w:t xml:space="preserve">     </w:t>
      </w:r>
      <w:r>
        <w:rPr>
          <w:rFonts w:ascii="AdobeHeitiStd-Regular" w:eastAsia="AdobeHeitiStd-Regular" w:hAnsi="AdobeHeitiStd-Regular" w:hint="eastAsia"/>
          <w:szCs w:val="21"/>
          <w:u w:val="single"/>
        </w:rPr>
        <w:t xml:space="preserve">   </w:t>
      </w:r>
      <w:r>
        <w:rPr>
          <w:rFonts w:ascii="AdobeHeitiStd-Regular" w:eastAsia="AdobeHeitiStd-Regular" w:hAnsi="AdobeHeitiStd-Regular" w:hint="eastAsia"/>
          <w:szCs w:val="21"/>
        </w:rPr>
        <w:t>、</w:t>
      </w:r>
      <w:r w:rsidRPr="00DB6C49">
        <w:rPr>
          <w:rFonts w:ascii="AdobeHeitiStd-Regular" w:eastAsia="AdobeHeitiStd-Regular" w:hAnsi="AdobeHeitiStd-Regular" w:hint="eastAsia"/>
          <w:szCs w:val="21"/>
        </w:rPr>
        <w:t xml:space="preserve">转生长舍日期 </w:t>
      </w:r>
      <w:r>
        <w:rPr>
          <w:rFonts w:ascii="AdobeHeitiStd-Regular" w:eastAsia="AdobeHeitiStd-Regular" w:hAnsi="AdobeHeitiStd-Regular" w:hint="eastAsia"/>
          <w:szCs w:val="21"/>
          <w:u w:val="single"/>
        </w:rPr>
        <w:t xml:space="preserve">       </w:t>
      </w:r>
      <w:r w:rsidRPr="0002045F">
        <w:rPr>
          <w:rFonts w:ascii="HTJ0+ZLSFAl-2" w:eastAsia="HTJ0+ZLSFAl-2" w:hAnsi="HTJ0+ZLSFAl-2" w:hint="eastAsia"/>
          <w:szCs w:val="21"/>
        </w:rPr>
        <w:t>。</w:t>
      </w:r>
    </w:p>
    <w:p w:rsidR="00AC51DF" w:rsidRPr="0002045F" w:rsidRDefault="00AC51DF" w:rsidP="00AC51DF">
      <w:pPr>
        <w:spacing w:line="360" w:lineRule="auto"/>
        <w:ind w:left="1877" w:hangingChars="850" w:hanging="1877"/>
        <w:rPr>
          <w:rFonts w:ascii="AdobeHeitiStd-Regular" w:eastAsia="AdobeHeitiStd-Regular" w:hAnsi="AdobeHeitiStd-Regular" w:hint="eastAsia"/>
          <w:szCs w:val="21"/>
        </w:rPr>
      </w:pPr>
      <w:smartTag w:uri="urn:schemas-microsoft-com:office:smarttags" w:element="chsdate">
        <w:smartTagPr>
          <w:attr w:name="Year" w:val="1899"/>
          <w:attr w:name="Month" w:val="12"/>
          <w:attr w:name="Day" w:val="30"/>
          <w:attr w:name="IsLunarDate" w:val="False"/>
          <w:attr w:name="IsROCDate" w:val="False"/>
        </w:smartTagPr>
        <w:r w:rsidRPr="00877E82">
          <w:rPr>
            <w:rFonts w:ascii="E-BZ+ZLSFAl-1" w:eastAsia="E-BZ+ZLSFAl-1" w:hAnsi="E-BZ+ZLSFAl-1" w:hint="eastAsia"/>
            <w:b/>
            <w:szCs w:val="21"/>
          </w:rPr>
          <w:t>1.3.2</w:t>
        </w:r>
      </w:smartTag>
      <w:r w:rsidRPr="00877E82">
        <w:rPr>
          <w:rFonts w:ascii="AdobeHeitiStd-Regular" w:eastAsia="AdobeHeitiStd-Regular" w:hAnsi="AdobeHeitiStd-Regular" w:hint="eastAsia"/>
          <w:b/>
          <w:szCs w:val="21"/>
        </w:rPr>
        <w:t>观察指标</w:t>
      </w:r>
      <w:r w:rsidRPr="0002045F">
        <w:rPr>
          <w:rFonts w:ascii="AdobeHeitiStd-Regular" w:eastAsia="AdobeHeitiStd-Regular" w:hAnsi="AdobeHeitiStd-Regular" w:hint="eastAsia"/>
          <w:szCs w:val="21"/>
        </w:rPr>
        <w:t xml:space="preserve">    观察并记录试验期间试验猪中发喘气病猪的数量、跟踪该批试验猪的上市时间等。</w:t>
      </w:r>
    </w:p>
    <w:p w:rsidR="00AC51DF" w:rsidRPr="0002045F" w:rsidRDefault="00AC51DF" w:rsidP="00AC51DF">
      <w:pPr>
        <w:rPr>
          <w:rFonts w:ascii="AdobeHeitiStd-Regular" w:eastAsia="AdobeHeitiStd-Regular" w:hAnsi="AdobeHeitiStd-Regular" w:hint="eastAsia"/>
          <w:b/>
          <w:bCs/>
          <w:szCs w:val="21"/>
        </w:rPr>
      </w:pPr>
      <w:r w:rsidRPr="0002045F">
        <w:rPr>
          <w:rFonts w:ascii="AdobeHeitiStd-Regular" w:eastAsia="AdobeHeitiStd-Regular" w:hAnsi="AdobeHeitiStd-Regular" w:hint="eastAsia"/>
          <w:b/>
          <w:bCs/>
          <w:szCs w:val="21"/>
        </w:rPr>
        <w:t>2</w:t>
      </w:r>
      <w:r>
        <w:rPr>
          <w:rFonts w:ascii="AdobeHeitiStd-Regular" w:eastAsia="AdobeHeitiStd-Regular" w:hAnsi="AdobeHeitiStd-Regular" w:hint="eastAsia"/>
          <w:b/>
          <w:bCs/>
          <w:szCs w:val="21"/>
        </w:rPr>
        <w:t xml:space="preserve">.  </w:t>
      </w:r>
      <w:r w:rsidRPr="0002045F">
        <w:rPr>
          <w:rFonts w:ascii="AdobeHeitiStd-Regular" w:eastAsia="AdobeHeitiStd-Regular" w:hAnsi="AdobeHeitiStd-Regular" w:hint="eastAsia"/>
          <w:b/>
          <w:bCs/>
          <w:szCs w:val="21"/>
        </w:rPr>
        <w:t>试验记录</w:t>
      </w:r>
    </w:p>
    <w:p w:rsidR="00AC51DF" w:rsidRPr="0002045F" w:rsidRDefault="00AC51DF" w:rsidP="00AC51DF">
      <w:pPr>
        <w:rPr>
          <w:rFonts w:ascii="AdobeHeitiStd-Regular" w:eastAsia="AdobeHeitiStd-Regular" w:hAnsi="AdobeHeitiStd-Regular" w:hint="eastAsia"/>
          <w:b/>
          <w:bCs/>
          <w:szCs w:val="21"/>
        </w:rPr>
      </w:pP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1262"/>
        <w:gridCol w:w="2976"/>
        <w:gridCol w:w="3251"/>
      </w:tblGrid>
      <w:tr w:rsidR="00AC51DF" w:rsidRPr="0002045F" w:rsidTr="009C33DE">
        <w:trPr>
          <w:trHeight w:val="710"/>
        </w:trPr>
        <w:tc>
          <w:tcPr>
            <w:tcW w:w="2235" w:type="dxa"/>
            <w:gridSpan w:val="2"/>
            <w:tcBorders>
              <w:tl2br w:val="single" w:sz="4" w:space="0" w:color="auto"/>
            </w:tcBorders>
            <w:vAlign w:val="center"/>
          </w:tcPr>
          <w:p w:rsidR="00AC51DF" w:rsidRPr="0002045F" w:rsidRDefault="00AC51DF" w:rsidP="009C33DE">
            <w:pPr>
              <w:jc w:val="center"/>
              <w:rPr>
                <w:rFonts w:hint="eastAsia"/>
                <w:szCs w:val="21"/>
              </w:rPr>
            </w:pPr>
            <w:r w:rsidRPr="0002045F">
              <w:rPr>
                <w:rFonts w:hint="eastAsia"/>
                <w:szCs w:val="21"/>
              </w:rPr>
              <w:t>项目</w:t>
            </w:r>
            <w:r>
              <w:rPr>
                <w:rFonts w:hint="eastAsia"/>
                <w:szCs w:val="21"/>
              </w:rPr>
              <w:t xml:space="preserve">       </w:t>
            </w:r>
            <w:r w:rsidRPr="0002045F">
              <w:rPr>
                <w:rFonts w:hint="eastAsia"/>
                <w:szCs w:val="21"/>
              </w:rPr>
              <w:t>组别</w:t>
            </w:r>
          </w:p>
        </w:tc>
        <w:tc>
          <w:tcPr>
            <w:tcW w:w="2976" w:type="dxa"/>
            <w:vAlign w:val="center"/>
          </w:tcPr>
          <w:p w:rsidR="00AC51DF" w:rsidRPr="0002045F" w:rsidRDefault="00AC51DF" w:rsidP="009C33DE">
            <w:pPr>
              <w:jc w:val="center"/>
              <w:rPr>
                <w:rFonts w:hint="eastAsia"/>
                <w:szCs w:val="21"/>
              </w:rPr>
            </w:pPr>
            <w:r w:rsidRPr="0002045F">
              <w:rPr>
                <w:rFonts w:hint="eastAsia"/>
                <w:szCs w:val="21"/>
              </w:rPr>
              <w:t>对照</w:t>
            </w:r>
            <w:r>
              <w:rPr>
                <w:rFonts w:hint="eastAsia"/>
                <w:szCs w:val="21"/>
              </w:rPr>
              <w:t>B</w:t>
            </w:r>
            <w:r w:rsidRPr="0002045F">
              <w:rPr>
                <w:rFonts w:hint="eastAsia"/>
                <w:szCs w:val="21"/>
              </w:rPr>
              <w:t>组</w:t>
            </w:r>
          </w:p>
          <w:p w:rsidR="00AC51DF" w:rsidRPr="0002045F" w:rsidRDefault="00AC51DF" w:rsidP="009C33DE">
            <w:pPr>
              <w:jc w:val="center"/>
              <w:rPr>
                <w:rFonts w:hint="eastAsia"/>
                <w:szCs w:val="21"/>
              </w:rPr>
            </w:pPr>
            <w:r w:rsidRPr="0002045F">
              <w:rPr>
                <w:rFonts w:hint="eastAsia"/>
                <w:szCs w:val="21"/>
              </w:rPr>
              <w:t>（未免疫猪支原体肺炎疫苗）</w:t>
            </w:r>
          </w:p>
        </w:tc>
        <w:tc>
          <w:tcPr>
            <w:tcW w:w="3251" w:type="dxa"/>
            <w:vAlign w:val="center"/>
          </w:tcPr>
          <w:p w:rsidR="00AC51DF" w:rsidRPr="0002045F" w:rsidRDefault="00AC51DF" w:rsidP="009C33DE">
            <w:pPr>
              <w:jc w:val="center"/>
              <w:rPr>
                <w:rFonts w:hint="eastAsia"/>
                <w:szCs w:val="21"/>
              </w:rPr>
            </w:pPr>
            <w:r w:rsidRPr="0002045F">
              <w:rPr>
                <w:rFonts w:hint="eastAsia"/>
                <w:szCs w:val="21"/>
              </w:rPr>
              <w:t>试验</w:t>
            </w:r>
            <w:r w:rsidRPr="0002045F">
              <w:rPr>
                <w:rFonts w:hint="eastAsia"/>
                <w:szCs w:val="21"/>
              </w:rPr>
              <w:t>A</w:t>
            </w:r>
            <w:r w:rsidRPr="0002045F">
              <w:rPr>
                <w:rFonts w:hint="eastAsia"/>
                <w:szCs w:val="21"/>
              </w:rPr>
              <w:t>组</w:t>
            </w:r>
          </w:p>
          <w:p w:rsidR="00AC51DF" w:rsidRPr="0002045F" w:rsidRDefault="00AC51DF" w:rsidP="009C33DE">
            <w:pPr>
              <w:jc w:val="center"/>
              <w:rPr>
                <w:rFonts w:hint="eastAsia"/>
                <w:szCs w:val="21"/>
              </w:rPr>
            </w:pPr>
            <w:r w:rsidRPr="0002045F">
              <w:rPr>
                <w:rFonts w:hint="eastAsia"/>
                <w:szCs w:val="21"/>
              </w:rPr>
              <w:t>（免疫“绿都传奇”）</w:t>
            </w:r>
          </w:p>
        </w:tc>
      </w:tr>
      <w:tr w:rsidR="00AC51DF" w:rsidRPr="0002045F" w:rsidTr="009C33DE">
        <w:trPr>
          <w:trHeight w:val="485"/>
        </w:trPr>
        <w:tc>
          <w:tcPr>
            <w:tcW w:w="2235" w:type="dxa"/>
            <w:gridSpan w:val="2"/>
            <w:vAlign w:val="center"/>
          </w:tcPr>
          <w:p w:rsidR="00AC51DF" w:rsidRPr="0002045F" w:rsidRDefault="00AC51DF" w:rsidP="009C33DE">
            <w:pPr>
              <w:jc w:val="center"/>
              <w:rPr>
                <w:rFonts w:hint="eastAsia"/>
                <w:szCs w:val="21"/>
              </w:rPr>
            </w:pPr>
            <w:r w:rsidRPr="0002045F">
              <w:rPr>
                <w:rFonts w:hint="eastAsia"/>
                <w:szCs w:val="21"/>
              </w:rPr>
              <w:t>试验总数（头）</w:t>
            </w:r>
          </w:p>
        </w:tc>
        <w:tc>
          <w:tcPr>
            <w:tcW w:w="2976" w:type="dxa"/>
            <w:vAlign w:val="center"/>
          </w:tcPr>
          <w:p w:rsidR="00AC51DF" w:rsidRPr="0002045F" w:rsidRDefault="00AC51DF" w:rsidP="009C33DE">
            <w:pPr>
              <w:jc w:val="center"/>
              <w:rPr>
                <w:rFonts w:hint="eastAsia"/>
                <w:szCs w:val="21"/>
              </w:rPr>
            </w:pPr>
          </w:p>
        </w:tc>
        <w:tc>
          <w:tcPr>
            <w:tcW w:w="3251" w:type="dxa"/>
            <w:vAlign w:val="center"/>
          </w:tcPr>
          <w:p w:rsidR="00AC51DF" w:rsidRPr="0002045F" w:rsidRDefault="00AC51DF" w:rsidP="009C33DE">
            <w:pPr>
              <w:jc w:val="center"/>
              <w:rPr>
                <w:rFonts w:hint="eastAsia"/>
                <w:szCs w:val="21"/>
              </w:rPr>
            </w:pPr>
          </w:p>
        </w:tc>
      </w:tr>
      <w:tr w:rsidR="00AC51DF" w:rsidRPr="0002045F" w:rsidTr="009C33DE">
        <w:trPr>
          <w:trHeight w:val="316"/>
        </w:trPr>
        <w:tc>
          <w:tcPr>
            <w:tcW w:w="973" w:type="dxa"/>
            <w:vMerge w:val="restart"/>
            <w:vAlign w:val="center"/>
          </w:tcPr>
          <w:p w:rsidR="00AC51DF" w:rsidRPr="0002045F" w:rsidRDefault="00AC51DF" w:rsidP="009C33DE">
            <w:pPr>
              <w:jc w:val="center"/>
              <w:rPr>
                <w:rFonts w:hint="eastAsia"/>
                <w:szCs w:val="21"/>
              </w:rPr>
            </w:pPr>
            <w:r w:rsidRPr="0002045F">
              <w:rPr>
                <w:rFonts w:hint="eastAsia"/>
                <w:szCs w:val="21"/>
              </w:rPr>
              <w:t>喘气发病数（头）</w:t>
            </w:r>
          </w:p>
        </w:tc>
        <w:tc>
          <w:tcPr>
            <w:tcW w:w="1262" w:type="dxa"/>
            <w:vAlign w:val="center"/>
          </w:tcPr>
          <w:p w:rsidR="00AC51DF" w:rsidRPr="0002045F" w:rsidRDefault="00AC51DF" w:rsidP="009C33DE">
            <w:pPr>
              <w:jc w:val="center"/>
              <w:rPr>
                <w:rFonts w:hint="eastAsia"/>
                <w:szCs w:val="21"/>
              </w:rPr>
            </w:pPr>
            <w:r>
              <w:rPr>
                <w:rFonts w:hint="eastAsia"/>
                <w:szCs w:val="21"/>
              </w:rPr>
              <w:t>30</w:t>
            </w:r>
            <w:r>
              <w:rPr>
                <w:rFonts w:hint="eastAsia"/>
                <w:szCs w:val="21"/>
              </w:rPr>
              <w:t>日龄</w:t>
            </w:r>
          </w:p>
        </w:tc>
        <w:tc>
          <w:tcPr>
            <w:tcW w:w="2976" w:type="dxa"/>
            <w:vAlign w:val="center"/>
          </w:tcPr>
          <w:p w:rsidR="00AC51DF" w:rsidRPr="0002045F" w:rsidRDefault="00AC51DF" w:rsidP="00AC51DF">
            <w:pPr>
              <w:ind w:firstLineChars="650" w:firstLine="1430"/>
              <w:rPr>
                <w:rFonts w:hint="eastAsia"/>
                <w:szCs w:val="21"/>
              </w:rPr>
            </w:pPr>
          </w:p>
        </w:tc>
        <w:tc>
          <w:tcPr>
            <w:tcW w:w="3251" w:type="dxa"/>
            <w:vAlign w:val="center"/>
          </w:tcPr>
          <w:p w:rsidR="00AC51DF" w:rsidRPr="0002045F" w:rsidRDefault="00AC51DF" w:rsidP="009C33DE">
            <w:pPr>
              <w:jc w:val="center"/>
              <w:rPr>
                <w:rFonts w:hint="eastAsia"/>
                <w:szCs w:val="21"/>
              </w:rPr>
            </w:pPr>
          </w:p>
        </w:tc>
      </w:tr>
      <w:tr w:rsidR="00AC51DF" w:rsidRPr="0002045F" w:rsidTr="009C33DE">
        <w:trPr>
          <w:trHeight w:val="316"/>
        </w:trPr>
        <w:tc>
          <w:tcPr>
            <w:tcW w:w="973" w:type="dxa"/>
            <w:vMerge/>
            <w:vAlign w:val="center"/>
          </w:tcPr>
          <w:p w:rsidR="00AC51DF" w:rsidRPr="0002045F" w:rsidRDefault="00AC51DF" w:rsidP="009C33DE">
            <w:pPr>
              <w:jc w:val="center"/>
              <w:rPr>
                <w:rFonts w:hint="eastAsia"/>
                <w:szCs w:val="21"/>
              </w:rPr>
            </w:pPr>
          </w:p>
        </w:tc>
        <w:tc>
          <w:tcPr>
            <w:tcW w:w="1262" w:type="dxa"/>
            <w:vAlign w:val="center"/>
          </w:tcPr>
          <w:p w:rsidR="00AC51DF" w:rsidRPr="0002045F" w:rsidRDefault="00AC51DF" w:rsidP="009C33DE">
            <w:pPr>
              <w:jc w:val="center"/>
              <w:rPr>
                <w:rFonts w:hint="eastAsia"/>
                <w:szCs w:val="21"/>
              </w:rPr>
            </w:pPr>
            <w:r>
              <w:rPr>
                <w:rFonts w:hint="eastAsia"/>
                <w:szCs w:val="21"/>
              </w:rPr>
              <w:t>70</w:t>
            </w:r>
            <w:r>
              <w:rPr>
                <w:rFonts w:hint="eastAsia"/>
                <w:szCs w:val="21"/>
              </w:rPr>
              <w:t>日龄</w:t>
            </w:r>
          </w:p>
        </w:tc>
        <w:tc>
          <w:tcPr>
            <w:tcW w:w="2976" w:type="dxa"/>
            <w:vAlign w:val="center"/>
          </w:tcPr>
          <w:p w:rsidR="00AC51DF" w:rsidRDefault="00AC51DF" w:rsidP="009C33DE">
            <w:pPr>
              <w:jc w:val="center"/>
              <w:rPr>
                <w:rFonts w:hint="eastAsia"/>
                <w:szCs w:val="21"/>
              </w:rPr>
            </w:pPr>
          </w:p>
        </w:tc>
        <w:tc>
          <w:tcPr>
            <w:tcW w:w="3251" w:type="dxa"/>
            <w:vAlign w:val="center"/>
          </w:tcPr>
          <w:p w:rsidR="00AC51DF" w:rsidRPr="0002045F" w:rsidRDefault="00AC51DF" w:rsidP="009C33DE">
            <w:pPr>
              <w:jc w:val="center"/>
              <w:rPr>
                <w:rFonts w:hint="eastAsia"/>
                <w:szCs w:val="21"/>
              </w:rPr>
            </w:pPr>
          </w:p>
        </w:tc>
      </w:tr>
      <w:tr w:rsidR="00AC51DF" w:rsidRPr="0002045F" w:rsidTr="009C33DE">
        <w:trPr>
          <w:trHeight w:val="316"/>
        </w:trPr>
        <w:tc>
          <w:tcPr>
            <w:tcW w:w="973" w:type="dxa"/>
            <w:vMerge/>
            <w:vAlign w:val="center"/>
          </w:tcPr>
          <w:p w:rsidR="00AC51DF" w:rsidRPr="0002045F" w:rsidRDefault="00AC51DF" w:rsidP="009C33DE">
            <w:pPr>
              <w:jc w:val="center"/>
              <w:rPr>
                <w:rFonts w:hint="eastAsia"/>
                <w:szCs w:val="21"/>
              </w:rPr>
            </w:pPr>
          </w:p>
        </w:tc>
        <w:tc>
          <w:tcPr>
            <w:tcW w:w="1262" w:type="dxa"/>
            <w:vAlign w:val="center"/>
          </w:tcPr>
          <w:p w:rsidR="00AC51DF" w:rsidRPr="0002045F" w:rsidRDefault="00AC51DF" w:rsidP="009C33DE">
            <w:pPr>
              <w:jc w:val="center"/>
              <w:rPr>
                <w:rFonts w:hint="eastAsia"/>
                <w:szCs w:val="21"/>
              </w:rPr>
            </w:pPr>
            <w:r>
              <w:rPr>
                <w:rFonts w:hint="eastAsia"/>
                <w:szCs w:val="21"/>
              </w:rPr>
              <w:t>100</w:t>
            </w:r>
            <w:r>
              <w:rPr>
                <w:rFonts w:hint="eastAsia"/>
                <w:szCs w:val="21"/>
              </w:rPr>
              <w:t>日龄</w:t>
            </w:r>
          </w:p>
        </w:tc>
        <w:tc>
          <w:tcPr>
            <w:tcW w:w="2976" w:type="dxa"/>
            <w:vAlign w:val="center"/>
          </w:tcPr>
          <w:p w:rsidR="00AC51DF" w:rsidRDefault="00AC51DF" w:rsidP="009C33DE">
            <w:pPr>
              <w:jc w:val="center"/>
              <w:rPr>
                <w:rFonts w:hint="eastAsia"/>
                <w:szCs w:val="21"/>
              </w:rPr>
            </w:pPr>
          </w:p>
        </w:tc>
        <w:tc>
          <w:tcPr>
            <w:tcW w:w="3251" w:type="dxa"/>
            <w:vAlign w:val="center"/>
          </w:tcPr>
          <w:p w:rsidR="00AC51DF" w:rsidRPr="0002045F" w:rsidRDefault="00AC51DF" w:rsidP="009C33DE">
            <w:pPr>
              <w:jc w:val="center"/>
              <w:rPr>
                <w:rFonts w:hint="eastAsia"/>
                <w:szCs w:val="21"/>
              </w:rPr>
            </w:pPr>
          </w:p>
        </w:tc>
      </w:tr>
      <w:tr w:rsidR="00AC51DF" w:rsidRPr="0002045F" w:rsidTr="009C33DE">
        <w:trPr>
          <w:trHeight w:val="608"/>
        </w:trPr>
        <w:tc>
          <w:tcPr>
            <w:tcW w:w="2235" w:type="dxa"/>
            <w:gridSpan w:val="2"/>
            <w:vAlign w:val="center"/>
          </w:tcPr>
          <w:p w:rsidR="00AC51DF" w:rsidRPr="0002045F" w:rsidRDefault="00AC51DF" w:rsidP="009C33DE">
            <w:pPr>
              <w:jc w:val="center"/>
              <w:rPr>
                <w:rFonts w:hint="eastAsia"/>
                <w:szCs w:val="21"/>
              </w:rPr>
            </w:pPr>
            <w:r w:rsidRPr="0002045F">
              <w:rPr>
                <w:rFonts w:hint="eastAsia"/>
                <w:szCs w:val="21"/>
              </w:rPr>
              <w:t>上市天数（日）</w:t>
            </w:r>
          </w:p>
        </w:tc>
        <w:tc>
          <w:tcPr>
            <w:tcW w:w="2976" w:type="dxa"/>
            <w:vAlign w:val="center"/>
          </w:tcPr>
          <w:p w:rsidR="00AC51DF" w:rsidRPr="0002045F" w:rsidRDefault="00AC51DF" w:rsidP="009C33DE">
            <w:pPr>
              <w:jc w:val="center"/>
              <w:rPr>
                <w:rFonts w:hint="eastAsia"/>
                <w:szCs w:val="21"/>
              </w:rPr>
            </w:pPr>
          </w:p>
        </w:tc>
        <w:tc>
          <w:tcPr>
            <w:tcW w:w="3251" w:type="dxa"/>
            <w:vAlign w:val="center"/>
          </w:tcPr>
          <w:p w:rsidR="00AC51DF" w:rsidRPr="0002045F" w:rsidRDefault="00AC51DF" w:rsidP="009C33DE">
            <w:pPr>
              <w:jc w:val="center"/>
              <w:rPr>
                <w:rFonts w:hint="eastAsia"/>
                <w:szCs w:val="21"/>
              </w:rPr>
            </w:pPr>
          </w:p>
        </w:tc>
      </w:tr>
      <w:tr w:rsidR="00AC51DF" w:rsidRPr="0002045F" w:rsidTr="009C33DE">
        <w:trPr>
          <w:trHeight w:val="608"/>
        </w:trPr>
        <w:tc>
          <w:tcPr>
            <w:tcW w:w="2235" w:type="dxa"/>
            <w:gridSpan w:val="2"/>
            <w:vAlign w:val="center"/>
          </w:tcPr>
          <w:p w:rsidR="00AC51DF" w:rsidRPr="0002045F" w:rsidRDefault="00AC51DF" w:rsidP="009C33DE">
            <w:pPr>
              <w:jc w:val="center"/>
              <w:rPr>
                <w:rFonts w:hint="eastAsia"/>
                <w:szCs w:val="21"/>
              </w:rPr>
            </w:pPr>
            <w:r w:rsidRPr="0002045F">
              <w:rPr>
                <w:rFonts w:hint="eastAsia"/>
                <w:szCs w:val="21"/>
              </w:rPr>
              <w:t>死淘数（头）</w:t>
            </w:r>
          </w:p>
        </w:tc>
        <w:tc>
          <w:tcPr>
            <w:tcW w:w="2976" w:type="dxa"/>
            <w:vAlign w:val="center"/>
          </w:tcPr>
          <w:p w:rsidR="00AC51DF" w:rsidRPr="0002045F" w:rsidRDefault="00AC51DF" w:rsidP="009C33DE">
            <w:pPr>
              <w:jc w:val="center"/>
              <w:rPr>
                <w:rFonts w:hint="eastAsia"/>
                <w:szCs w:val="21"/>
              </w:rPr>
            </w:pPr>
          </w:p>
        </w:tc>
        <w:tc>
          <w:tcPr>
            <w:tcW w:w="3251" w:type="dxa"/>
            <w:vAlign w:val="center"/>
          </w:tcPr>
          <w:p w:rsidR="00AC51DF" w:rsidRPr="0002045F" w:rsidRDefault="00AC51DF" w:rsidP="009C33DE">
            <w:pPr>
              <w:jc w:val="center"/>
              <w:rPr>
                <w:rFonts w:hint="eastAsia"/>
                <w:szCs w:val="21"/>
              </w:rPr>
            </w:pPr>
          </w:p>
        </w:tc>
      </w:tr>
    </w:tbl>
    <w:p w:rsidR="00AC51DF" w:rsidRPr="0042406C" w:rsidRDefault="00AC51DF" w:rsidP="00AC51DF">
      <w:pPr>
        <w:spacing w:line="360" w:lineRule="auto"/>
        <w:rPr>
          <w:rFonts w:ascii="FSJ0+ZMfFY7-2" w:eastAsia="FSJ0+ZMfFY7-2" w:hAnsi="FSJ0+ZMfFY7-2" w:hint="eastAsia"/>
          <w:b/>
          <w:sz w:val="36"/>
          <w:szCs w:val="36"/>
        </w:rPr>
      </w:pPr>
      <w:r w:rsidRPr="0042406C">
        <w:rPr>
          <w:rFonts w:ascii="FSJ0+ZMfFY7-2" w:eastAsia="FSJ0+ZMfFY7-2" w:hAnsi="FSJ0+ZMfFY7-2" w:hint="eastAsia"/>
          <w:b/>
          <w:sz w:val="36"/>
          <w:szCs w:val="36"/>
        </w:rPr>
        <w:t>试验说明：</w:t>
      </w:r>
    </w:p>
    <w:p w:rsidR="00AC51DF" w:rsidRDefault="00AC51DF" w:rsidP="00AC51DF">
      <w:pPr>
        <w:spacing w:line="360" w:lineRule="auto"/>
        <w:rPr>
          <w:rFonts w:ascii="FSJ0+ZMfFY7-2" w:eastAsia="FSJ0+ZMfFY7-2" w:hAnsi="FSJ0+ZMfFY7-2" w:hint="eastAsia"/>
          <w:b/>
          <w:sz w:val="30"/>
          <w:szCs w:val="30"/>
        </w:rPr>
      </w:pPr>
      <w:r>
        <w:rPr>
          <w:rFonts w:ascii="FSJ0+ZMfFY7-2" w:eastAsia="FSJ0+ZMfFY7-2" w:hAnsi="FSJ0+ZMfFY7-2" w:hint="eastAsia"/>
          <w:b/>
          <w:sz w:val="30"/>
          <w:szCs w:val="30"/>
        </w:rPr>
        <w:t>一、试验前期：</w:t>
      </w:r>
    </w:p>
    <w:p w:rsidR="00AC51DF" w:rsidRPr="00C25991" w:rsidRDefault="00AC51DF" w:rsidP="00AC51DF">
      <w:pPr>
        <w:widowControl w:val="0"/>
        <w:numPr>
          <w:ilvl w:val="0"/>
          <w:numId w:val="2"/>
        </w:numPr>
        <w:adjustRightInd/>
        <w:snapToGrid/>
        <w:spacing w:after="0" w:line="360" w:lineRule="auto"/>
        <w:jc w:val="both"/>
        <w:rPr>
          <w:rFonts w:ascii="FSJ0+ZMfFY7-2" w:eastAsia="FSJ0+ZMfFY7-2" w:hAnsi="FSJ0+ZMfFY7-2" w:hint="eastAsia"/>
          <w:sz w:val="24"/>
          <w:szCs w:val="24"/>
        </w:rPr>
      </w:pPr>
      <w:r w:rsidRPr="00C25991">
        <w:rPr>
          <w:rFonts w:ascii="FSJ0+ZMfFY7-2" w:eastAsia="FSJ0+ZMfFY7-2" w:hAnsi="FSJ0+ZMfFY7-2" w:hint="eastAsia"/>
          <w:sz w:val="24"/>
          <w:szCs w:val="24"/>
        </w:rPr>
        <w:t>该试验仅限于广东省内符合试验要求的规模自繁自养猪场；</w:t>
      </w:r>
    </w:p>
    <w:p w:rsidR="00AC51DF" w:rsidRPr="00C25991" w:rsidRDefault="00AC51DF" w:rsidP="00AC51DF">
      <w:pPr>
        <w:widowControl w:val="0"/>
        <w:numPr>
          <w:ilvl w:val="0"/>
          <w:numId w:val="2"/>
        </w:numPr>
        <w:adjustRightInd/>
        <w:snapToGrid/>
        <w:spacing w:after="0" w:line="360" w:lineRule="auto"/>
        <w:jc w:val="both"/>
        <w:rPr>
          <w:rFonts w:ascii="FSJ0+ZMfFY7-2" w:eastAsia="FSJ0+ZMfFY7-2" w:hAnsi="FSJ0+ZMfFY7-2" w:hint="eastAsia"/>
          <w:sz w:val="24"/>
          <w:szCs w:val="24"/>
        </w:rPr>
      </w:pPr>
      <w:r w:rsidRPr="00C25991">
        <w:rPr>
          <w:rFonts w:ascii="FSJ0+ZMfFY7-2" w:eastAsia="FSJ0+ZMfFY7-2" w:hAnsi="FSJ0+ZMfFY7-2" w:hint="eastAsia"/>
          <w:sz w:val="24"/>
          <w:szCs w:val="24"/>
        </w:rPr>
        <w:t>符合要求的意向猪场可以通过微信、电话报名参与；</w:t>
      </w:r>
    </w:p>
    <w:p w:rsidR="00AC51DF" w:rsidRPr="00C25991" w:rsidRDefault="00AC51DF" w:rsidP="00AC51DF">
      <w:pPr>
        <w:widowControl w:val="0"/>
        <w:numPr>
          <w:ilvl w:val="0"/>
          <w:numId w:val="2"/>
        </w:numPr>
        <w:adjustRightInd/>
        <w:snapToGrid/>
        <w:spacing w:after="0" w:line="360" w:lineRule="auto"/>
        <w:jc w:val="both"/>
        <w:rPr>
          <w:rFonts w:ascii="FSJ0+ZMfFY7-2" w:eastAsia="FSJ0+ZMfFY7-2" w:hAnsi="FSJ0+ZMfFY7-2" w:hint="eastAsia"/>
          <w:sz w:val="24"/>
          <w:szCs w:val="24"/>
        </w:rPr>
      </w:pPr>
      <w:r w:rsidRPr="00C25991">
        <w:rPr>
          <w:rFonts w:ascii="FSJ0+ZMfFY7-2" w:eastAsia="FSJ0+ZMfFY7-2" w:hAnsi="FSJ0+ZMfFY7-2" w:hint="eastAsia"/>
          <w:sz w:val="24"/>
          <w:szCs w:val="24"/>
        </w:rPr>
        <w:t>润牧公司筛选试验农场并提供试验产品；</w:t>
      </w:r>
    </w:p>
    <w:p w:rsidR="00AC51DF" w:rsidRPr="0042406C" w:rsidRDefault="00AC51DF" w:rsidP="00AC51DF">
      <w:pPr>
        <w:spacing w:line="360" w:lineRule="auto"/>
        <w:rPr>
          <w:rFonts w:ascii="FSJ0+ZMfFY7-2" w:eastAsia="FSJ0+ZMfFY7-2" w:hAnsi="FSJ0+ZMfFY7-2" w:hint="eastAsia"/>
          <w:b/>
          <w:sz w:val="30"/>
          <w:szCs w:val="30"/>
        </w:rPr>
      </w:pPr>
      <w:r w:rsidRPr="0042406C">
        <w:rPr>
          <w:rFonts w:ascii="FSJ0+ZMfFY7-2" w:eastAsia="FSJ0+ZMfFY7-2" w:hAnsi="FSJ0+ZMfFY7-2" w:hint="eastAsia"/>
          <w:b/>
          <w:sz w:val="30"/>
          <w:szCs w:val="30"/>
        </w:rPr>
        <w:t>二、试验期：</w:t>
      </w:r>
    </w:p>
    <w:p w:rsidR="00AC51DF" w:rsidRPr="00C25991" w:rsidRDefault="00AC51DF" w:rsidP="00AC51DF">
      <w:pPr>
        <w:widowControl w:val="0"/>
        <w:numPr>
          <w:ilvl w:val="0"/>
          <w:numId w:val="3"/>
        </w:numPr>
        <w:adjustRightInd/>
        <w:snapToGrid/>
        <w:spacing w:after="0" w:line="360" w:lineRule="auto"/>
        <w:jc w:val="both"/>
        <w:rPr>
          <w:rFonts w:ascii="FSJ0+ZMfFY7-2" w:eastAsia="FSJ0+ZMfFY7-2" w:hAnsi="FSJ0+ZMfFY7-2" w:hint="eastAsia"/>
          <w:sz w:val="24"/>
          <w:szCs w:val="24"/>
        </w:rPr>
      </w:pPr>
      <w:r w:rsidRPr="00C25991">
        <w:rPr>
          <w:rFonts w:ascii="FSJ0+ZMfFY7-2" w:eastAsia="FSJ0+ZMfFY7-2" w:hAnsi="FSJ0+ZMfFY7-2" w:hint="eastAsia"/>
          <w:sz w:val="24"/>
          <w:szCs w:val="24"/>
        </w:rPr>
        <w:t>实验农场开始试验时，请将以上实验方案填写相关信息回传至广州润牧公司备案留底；</w:t>
      </w:r>
    </w:p>
    <w:p w:rsidR="00AC51DF" w:rsidRPr="00C25991" w:rsidRDefault="00AC51DF" w:rsidP="00AC51DF">
      <w:pPr>
        <w:spacing w:line="360" w:lineRule="auto"/>
        <w:ind w:left="360" w:hangingChars="150" w:hanging="360"/>
        <w:rPr>
          <w:rFonts w:ascii="FSJ0+ZMfFY7-2" w:eastAsia="FSJ0+ZMfFY7-2" w:hAnsi="FSJ0+ZMfFY7-2" w:hint="eastAsia"/>
          <w:sz w:val="24"/>
          <w:szCs w:val="24"/>
        </w:rPr>
      </w:pPr>
      <w:r w:rsidRPr="00C25991">
        <w:rPr>
          <w:rFonts w:ascii="FSJ0+ZMfFY7-2" w:eastAsia="FSJ0+ZMfFY7-2" w:hAnsi="FSJ0+ZMfFY7-2" w:hint="eastAsia"/>
          <w:sz w:val="24"/>
          <w:szCs w:val="24"/>
        </w:rPr>
        <w:lastRenderedPageBreak/>
        <w:t>2、广州润牧公司根据试验场回传的信息，将提醒试验场观察试验猪在相应日龄的喘气发病头数；并填写以上试验方案的相关信息回传至广州润牧公司做第二次备案留底；</w:t>
      </w:r>
    </w:p>
    <w:p w:rsidR="00AC51DF" w:rsidRPr="00C25991" w:rsidRDefault="00AC51DF" w:rsidP="00AC51DF">
      <w:pPr>
        <w:spacing w:line="360" w:lineRule="auto"/>
        <w:ind w:left="360" w:hangingChars="150" w:hanging="360"/>
        <w:rPr>
          <w:rFonts w:ascii="FSJ0+ZMfFY7-2" w:eastAsia="FSJ0+ZMfFY7-2" w:hAnsi="FSJ0+ZMfFY7-2" w:hint="eastAsia"/>
          <w:sz w:val="24"/>
          <w:szCs w:val="24"/>
        </w:rPr>
      </w:pPr>
      <w:r w:rsidRPr="00C25991">
        <w:rPr>
          <w:rFonts w:ascii="FSJ0+ZMfFY7-2" w:eastAsia="FSJ0+ZMfFY7-2" w:hAnsi="FSJ0+ZMfFY7-2" w:hint="eastAsia"/>
          <w:sz w:val="24"/>
          <w:szCs w:val="24"/>
        </w:rPr>
        <w:t>3、试验猪上市后，试验场将以上实验方案及调查表的全部信息完善并回传至广州润牧公司，至此，试验阶段结束。</w:t>
      </w:r>
    </w:p>
    <w:p w:rsidR="00AC51DF" w:rsidRPr="0042406C" w:rsidRDefault="00AC51DF" w:rsidP="00AC51DF">
      <w:pPr>
        <w:spacing w:line="360" w:lineRule="auto"/>
        <w:rPr>
          <w:rFonts w:ascii="FSJ0+ZMfFY7-2" w:eastAsia="FSJ0+ZMfFY7-2" w:hAnsi="FSJ0+ZMfFY7-2" w:hint="eastAsia"/>
          <w:b/>
          <w:sz w:val="30"/>
          <w:szCs w:val="30"/>
        </w:rPr>
      </w:pPr>
      <w:r w:rsidRPr="0042406C">
        <w:rPr>
          <w:rFonts w:ascii="FSJ0+ZMfFY7-2" w:eastAsia="FSJ0+ZMfFY7-2" w:hAnsi="FSJ0+ZMfFY7-2" w:hint="eastAsia"/>
          <w:b/>
          <w:sz w:val="30"/>
          <w:szCs w:val="30"/>
        </w:rPr>
        <w:t>三、试验后期：</w:t>
      </w:r>
    </w:p>
    <w:p w:rsidR="00AC51DF" w:rsidRPr="00C25991" w:rsidRDefault="00AC51DF" w:rsidP="00AC51DF">
      <w:pPr>
        <w:spacing w:line="360" w:lineRule="auto"/>
        <w:ind w:left="360" w:hangingChars="150" w:hanging="360"/>
        <w:rPr>
          <w:rFonts w:ascii="FSJ0+ZMfFY7-2" w:eastAsia="FSJ0+ZMfFY7-2" w:hAnsi="FSJ0+ZMfFY7-2" w:hint="eastAsia"/>
          <w:sz w:val="24"/>
          <w:szCs w:val="24"/>
        </w:rPr>
      </w:pPr>
      <w:r w:rsidRPr="00C25991">
        <w:rPr>
          <w:rFonts w:ascii="FSJ0+ZMfFY7-2" w:eastAsia="FSJ0+ZMfFY7-2" w:hAnsi="FSJ0+ZMfFY7-2" w:hint="eastAsia"/>
          <w:sz w:val="24"/>
          <w:szCs w:val="24"/>
        </w:rPr>
        <w:t>1、广州润牧公司将所有的试验结果收集齐，并在广东养猪信息网的相关工作人员见证下公开抽取出三个幸运农场；</w:t>
      </w:r>
    </w:p>
    <w:p w:rsidR="00AC51DF" w:rsidRPr="00C25991" w:rsidRDefault="00AC51DF" w:rsidP="00AC51DF">
      <w:pPr>
        <w:spacing w:line="360" w:lineRule="auto"/>
        <w:rPr>
          <w:rFonts w:ascii="FSJ0+ZMfFY7-2" w:eastAsia="FSJ0+ZMfFY7-2" w:hAnsi="FSJ0+ZMfFY7-2" w:hint="eastAsia"/>
          <w:sz w:val="24"/>
          <w:szCs w:val="24"/>
        </w:rPr>
      </w:pPr>
      <w:r w:rsidRPr="00C25991">
        <w:rPr>
          <w:rFonts w:ascii="FSJ0+ZMfFY7-2" w:eastAsia="FSJ0+ZMfFY7-2" w:hAnsi="FSJ0+ZMfFY7-2" w:hint="eastAsia"/>
          <w:sz w:val="24"/>
          <w:szCs w:val="24"/>
        </w:rPr>
        <w:t>2、借助广东养猪信息网的平台公示抽奖结果一周；</w:t>
      </w:r>
    </w:p>
    <w:p w:rsidR="00AC51DF" w:rsidRPr="00C25991" w:rsidRDefault="00AC51DF" w:rsidP="00AC51DF">
      <w:pPr>
        <w:spacing w:line="360" w:lineRule="auto"/>
        <w:rPr>
          <w:rFonts w:ascii="FSJ0+ZMfFY7-2" w:eastAsia="FSJ0+ZMfFY7-2" w:hAnsi="FSJ0+ZMfFY7-2" w:hint="eastAsia"/>
          <w:sz w:val="24"/>
          <w:szCs w:val="24"/>
        </w:rPr>
      </w:pPr>
      <w:r w:rsidRPr="00C25991">
        <w:rPr>
          <w:rFonts w:ascii="FSJ0+ZMfFY7-2" w:eastAsia="FSJ0+ZMfFY7-2" w:hAnsi="FSJ0+ZMfFY7-2" w:hint="eastAsia"/>
          <w:sz w:val="24"/>
          <w:szCs w:val="24"/>
        </w:rPr>
        <w:t>3、公示结果结束，获奖农场将获得价值3800神秘礼品一份。</w:t>
      </w:r>
    </w:p>
    <w:p w:rsidR="00AC51DF" w:rsidRDefault="00AC51DF" w:rsidP="00AC51DF">
      <w:pPr>
        <w:rPr>
          <w:rFonts w:ascii="FSJ0+ZMfFY7-2" w:eastAsia="FSJ0+ZMfFY7-2" w:hAnsi="FSJ0+ZMfFY7-2" w:hint="eastAsia"/>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23" w:rsidRDefault="00524A23" w:rsidP="00AC51DF">
      <w:pPr>
        <w:spacing w:after="0"/>
      </w:pPr>
      <w:r>
        <w:separator/>
      </w:r>
    </w:p>
  </w:endnote>
  <w:endnote w:type="continuationSeparator" w:id="0">
    <w:p w:rsidR="00524A23" w:rsidRDefault="00524A23" w:rsidP="00AC51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dobeHeitiStd-Regular">
    <w:altName w:val="宋体"/>
    <w:charset w:val="86"/>
    <w:family w:val="auto"/>
    <w:pitch w:val="default"/>
    <w:sig w:usb0="00000000" w:usb1="00000000" w:usb2="00000000" w:usb3="00000000" w:csb0="00040000" w:csb1="00000000"/>
  </w:font>
  <w:font w:name="FSJ0+ZMfFY7-2">
    <w:altName w:val="宋体"/>
    <w:charset w:val="86"/>
    <w:family w:val="auto"/>
    <w:pitch w:val="default"/>
    <w:sig w:usb0="00000000" w:usb1="00000000" w:usb2="00000000" w:usb3="00000000" w:csb0="00040000" w:csb1="00000000"/>
  </w:font>
  <w:font w:name="E-BZ+ZMfFY6-1">
    <w:altName w:val="宋体"/>
    <w:charset w:val="86"/>
    <w:family w:val="auto"/>
    <w:pitch w:val="default"/>
    <w:sig w:usb0="00000000" w:usb1="00000000" w:usb2="00000000" w:usb3="00000000" w:csb0="00040000" w:csb1="00000000"/>
  </w:font>
  <w:font w:name="E-BZ+ZLSFAl-1">
    <w:altName w:val="宋体"/>
    <w:charset w:val="86"/>
    <w:family w:val="auto"/>
    <w:pitch w:val="default"/>
    <w:sig w:usb0="00000000" w:usb1="00000000" w:usb2="00000000" w:usb3="00000000" w:csb0="00040000" w:csb1="00000000"/>
  </w:font>
  <w:font w:name="HTJ0+ZLSFAl-2">
    <w:altName w:val="宋体"/>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23" w:rsidRDefault="00524A23" w:rsidP="00AC51DF">
      <w:pPr>
        <w:spacing w:after="0"/>
      </w:pPr>
      <w:r>
        <w:separator/>
      </w:r>
    </w:p>
  </w:footnote>
  <w:footnote w:type="continuationSeparator" w:id="0">
    <w:p w:rsidR="00524A23" w:rsidRDefault="00524A23" w:rsidP="00AC51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7660E"/>
    <w:multiLevelType w:val="hybridMultilevel"/>
    <w:tmpl w:val="DE96B754"/>
    <w:lvl w:ilvl="0" w:tplc="5F70A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19630C"/>
    <w:multiLevelType w:val="hybridMultilevel"/>
    <w:tmpl w:val="0BD4FEBA"/>
    <w:lvl w:ilvl="0" w:tplc="F07E9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866F75"/>
    <w:multiLevelType w:val="hybridMultilevel"/>
    <w:tmpl w:val="CA4C6DB2"/>
    <w:lvl w:ilvl="0" w:tplc="A17A77F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F49C1"/>
    <w:rsid w:val="00323B43"/>
    <w:rsid w:val="003D37D8"/>
    <w:rsid w:val="00426133"/>
    <w:rsid w:val="004358AB"/>
    <w:rsid w:val="00524A23"/>
    <w:rsid w:val="008B7726"/>
    <w:rsid w:val="00AC51D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1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C51DF"/>
    <w:rPr>
      <w:rFonts w:ascii="Tahoma" w:hAnsi="Tahoma"/>
      <w:sz w:val="18"/>
      <w:szCs w:val="18"/>
    </w:rPr>
  </w:style>
  <w:style w:type="paragraph" w:styleId="a4">
    <w:name w:val="footer"/>
    <w:basedOn w:val="a"/>
    <w:link w:val="Char0"/>
    <w:uiPriority w:val="99"/>
    <w:semiHidden/>
    <w:unhideWhenUsed/>
    <w:rsid w:val="00AC51DF"/>
    <w:pPr>
      <w:tabs>
        <w:tab w:val="center" w:pos="4153"/>
        <w:tab w:val="right" w:pos="8306"/>
      </w:tabs>
    </w:pPr>
    <w:rPr>
      <w:sz w:val="18"/>
      <w:szCs w:val="18"/>
    </w:rPr>
  </w:style>
  <w:style w:type="character" w:customStyle="1" w:styleId="Char0">
    <w:name w:val="页脚 Char"/>
    <w:basedOn w:val="a0"/>
    <w:link w:val="a4"/>
    <w:uiPriority w:val="99"/>
    <w:semiHidden/>
    <w:rsid w:val="00AC51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2015-11-28T09:30:00Z</dcterms:modified>
</cp:coreProperties>
</file>